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genesis-2"/>
    <w:p>
      <w:pPr>
        <w:pStyle w:val="Heading1"/>
      </w:pPr>
      <w:r>
        <w:t xml:space="preserve">Homiletics Analysis: Genesis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2 narrows the lens from the cosmic panorama of Genesis 1 to the intimate, ground-level account of humanity’s creation and placement. The chapter opens with the Sabbath rest of God (vv. 1–3), establishing a rhythm of sacred rest into the fabric of creation itself. The narrative then pivots to the formation of the man from the dust of the ground (v. 7), the planting of the garden in Eden (vv. 8–14), the man’s commission to work and keep the garden under a single prohibition (vv. 15–17), the declaration that aloneness is</w:t>
      </w:r>
      <w:r>
        <w:t xml:space="preserve"> </w:t>
      </w:r>
      <w:r>
        <w:t xml:space="preserve">“not good”</w:t>
      </w:r>
      <w:r>
        <w:t xml:space="preserve"> </w:t>
      </w:r>
      <w:r>
        <w:t xml:space="preserve">(v. 18), the parade of animals that surfaces the man’s need for a corresponding helper (vv. 19–20), and finally the creation of the woman from the man’s side and the man’s exultant recognition of her as bone of his bone and flesh of his flesh (vv. 21–23). The chapter closes with the institution of marriage as a leaving-cleaving-becoming-one-flesh covenant (v. 24) and the note of unashamed nakedness that characterizes the pre-Fall order (v. 25).</w:t>
      </w:r>
    </w:p>
    <w:p>
      <w:pPr>
        <w:pStyle w:val="BodyText"/>
      </w:pPr>
      <w:r>
        <w:t xml:space="preserve">The chapter is not a second, contradictory creation account competing with Genesis 1. It is a deliberate zoom — from the macro-structure of the cosmos to the micro-structure of the covenant community of two. Genesis 1 asks</w:t>
      </w:r>
      <w:r>
        <w:t xml:space="preserve"> </w:t>
      </w:r>
      <w:r>
        <w:t xml:space="preserve">“What kind of world did God make?”</w:t>
      </w:r>
      <w:r>
        <w:t xml:space="preserve"> </w:t>
      </w:r>
      <w:r>
        <w:t xml:space="preserve">Genesis 2 asks</w:t>
      </w:r>
      <w:r>
        <w:t xml:space="preserve"> </w:t>
      </w:r>
      <w:r>
        <w:t xml:space="preserve">“What kind of creatures are the image-bearers, and what kind of life has God designed for them?”</w:t>
      </w:r>
    </w:p>
    <w:p>
      <w:pPr>
        <w:pStyle w:val="BodyText"/>
      </w:pPr>
      <w:r>
        <w:rPr>
          <w:b/>
          <w:bCs/>
        </w:rPr>
        <w:t xml:space="preserve">This Text — Intent:</w:t>
      </w:r>
    </w:p>
    <w:p>
      <w:pPr>
        <w:pStyle w:val="BodyText"/>
      </w:pPr>
      <w:r>
        <w:t xml:space="preserve">God is seeking to accomplish something specific through this chapter: to establish the original design of human life in its fullest dignity — creature formed by the breath of God, placed in purposeful work, given a covenantal companion, and ordered toward a one-flesh union that reflects something about God Himself. The intent is not merely historical or descriptive. It is foundational and normative. Every subsequent claim in Scripture about work, marriage, gender, loneliness, the body, and human dignity traces back to this chapter. God is calling the reader to understand what human beings are</w:t>
      </w:r>
      <w:r>
        <w:t xml:space="preserve"> </w:t>
      </w:r>
      <w:r>
        <w:rPr>
          <w:i/>
          <w:iCs/>
        </w:rPr>
        <w:t xml:space="preserve">for</w:t>
      </w:r>
      <w:r>
        <w:t xml:space="preserve"> </w:t>
      </w:r>
      <w:r>
        <w:t xml:space="preserve">— and what the creational design for human flourishing looks like — before sin distorts it in chapter 3. The reader who grasps this chapter understands what was lost in the Fall and what redemption in Christ is ultimately restoring.</w:t>
      </w:r>
    </w:p>
    <w:p>
      <w:r>
        <w:pict>
          <v:rect style="width:0;height:1.5pt" o:hralign="center" o:hrstd="t" o:hr="t"/>
        </w:pict>
      </w:r>
    </w:p>
    <w:p>
      <w:pPr>
        <w:pStyle w:val="FirstParagraph"/>
      </w:pPr>
      <w:r>
        <w:rPr>
          <w:b/>
          <w:bCs/>
        </w:rPr>
        <w:t xml:space="preserve">Subject Sentence:</w:t>
      </w:r>
      <w:r>
        <w:t xml:space="preserve"> </w:t>
      </w:r>
      <w:r>
        <w:t xml:space="preserve">God designs human life for purposeful work, covenantal companionship, and one-flesh union.</w:t>
      </w:r>
    </w:p>
    <w:p>
      <w:r>
        <w:pict>
          <v:rect style="width:0;height:1.5pt" o:hralign="center" o:hrstd="t" o:hr="t"/>
        </w:pict>
      </w:r>
    </w:p>
    <w:p>
      <w:pPr>
        <w:pStyle w:val="FirstParagraph"/>
      </w:pPr>
      <w:r>
        <w:rPr>
          <w:b/>
          <w:bCs/>
        </w:rPr>
        <w:t xml:space="preserve">Primary Claim:</w:t>
      </w:r>
      <w:r>
        <w:t xml:space="preserve"> </w:t>
      </w:r>
      <w:r>
        <w:t xml:space="preserve">God is here establishing the original, normative pattern for human flourishing — work, companion, covenant — so that the reader understands both what we were made for and what the gospel is in the business of restoring.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Documentary Hypothesis and</w:t>
      </w:r>
      <w:r>
        <w:rPr>
          <w:b/>
          <w:bCs/>
        </w:rPr>
        <w:t xml:space="preserve"> </w:t>
      </w:r>
      <w:r>
        <w:rPr>
          <w:b/>
          <w:bCs/>
        </w:rPr>
        <w:t xml:space="preserve">“Competing Accounts”</w:t>
      </w:r>
      <w:r>
        <w:rPr>
          <w:b/>
          <w:bCs/>
        </w:rPr>
        <w:t xml:space="preserve">:</w:t>
      </w:r>
      <w:r>
        <w:t xml:space="preserve"> </w:t>
      </w:r>
      <w:r>
        <w:t xml:space="preserve">Critical scholarship has long argued that Genesis 1 (assigned to</w:t>
      </w:r>
      <w:r>
        <w:t xml:space="preserve"> </w:t>
      </w:r>
      <w:r>
        <w:t xml:space="preserve">“P,”</w:t>
      </w:r>
      <w:r>
        <w:t xml:space="preserve"> </w:t>
      </w:r>
      <w:r>
        <w:t xml:space="preserve">the Priestly source) and Genesis 2 (assigned to</w:t>
      </w:r>
      <w:r>
        <w:t xml:space="preserve"> </w:t>
      </w:r>
      <w:r>
        <w:t xml:space="preserve">“J,”</w:t>
      </w:r>
      <w:r>
        <w:t xml:space="preserve"> </w:t>
      </w:r>
      <w:r>
        <w:t xml:space="preserve">the Yahwist source) represent two contradictory accounts of creation clumsily stitched together, with different sequences, different divine names, and different emphases. This reading must be</w:t>
      </w:r>
      <w:r>
        <w:t xml:space="preserve"> </w:t>
      </w:r>
      <w:r>
        <w:rPr>
          <w:i/>
          <w:iCs/>
        </w:rPr>
        <w:t xml:space="preserve">refuted</w:t>
      </w:r>
      <w:r>
        <w:t xml:space="preserve"> </w:t>
      </w:r>
      <w:r>
        <w:t xml:space="preserve">as a governing framework for exposition. The different divine names (</w:t>
      </w:r>
      <w:r>
        <w:rPr>
          <w:i/>
          <w:iCs/>
        </w:rPr>
        <w:t xml:space="preserve">Elohim</w:t>
      </w:r>
      <w:r>
        <w:t xml:space="preserve"> </w:t>
      </w:r>
      <w:r>
        <w:t xml:space="preserve">in Genesis 1,</w:t>
      </w:r>
      <w:r>
        <w:t xml:space="preserve"> </w:t>
      </w:r>
      <w:r>
        <w:rPr>
          <w:i/>
          <w:iCs/>
        </w:rPr>
        <w:t xml:space="preserve">YHWH Elohim</w:t>
      </w:r>
      <w:r>
        <w:t xml:space="preserve"> </w:t>
      </w:r>
      <w:r>
        <w:t xml:space="preserve">in Genesis 2) are not evidence of separate sources but of deliberate theological progression: Genesis 1 establishes God as the transcendent Creator; Genesis 2 introduces Him as</w:t>
      </w:r>
      <w:r>
        <w:t xml:space="preserve"> </w:t>
      </w:r>
      <w:r>
        <w:rPr>
          <w:i/>
          <w:iCs/>
        </w:rPr>
        <w:t xml:space="preserve">YHWH</w:t>
      </w:r>
      <w:r>
        <w:t xml:space="preserve">, the covenant-making God who stoops to form man from dust and breathe life into him. The narrative sequences are not contradictory — they are complementary zooms, as recognized by the canonical editors who preserved both chapters as a literary unity. Evangelical and Reformed hermeneutics have consistently maintained that the two chapters are intentionally structured together (Waltke, Wenham, Hamilton), and the internal evidence of the text — the resumptive toledoth formula in 2:4 functioning as a section marker — supports this.</w:t>
      </w:r>
      <w:r>
        <w:t xml:space="preserve"> </w:t>
      </w:r>
      <w:r>
        <w:rPr>
          <w:i/>
          <w:iCs/>
        </w:rPr>
        <w:t xml:space="preserve">Acknowledge</w:t>
      </w:r>
      <w:r>
        <w:t xml:space="preserve">: source critics have rightly noticed that the chapters use different rhetorical strategies and emphases; that observation is useful. But the inference of contradiction or competing theologies is an imposition, not an exegetical finding.</w:t>
      </w:r>
    </w:p>
    <w:p>
      <w:pPr>
        <w:pStyle w:val="BodyText"/>
      </w:pPr>
      <w:r>
        <w:rPr>
          <w:b/>
          <w:bCs/>
        </w:rPr>
        <w:t xml:space="preserve">New Age / Therapeutic Readings:</w:t>
      </w:r>
      <w:r>
        <w:t xml:space="preserve"> </w:t>
      </w:r>
      <w:r>
        <w:t xml:space="preserve">Some contemporary readers abstract the</w:t>
      </w:r>
      <w:r>
        <w:t xml:space="preserve"> </w:t>
      </w:r>
      <w:r>
        <w:t xml:space="preserve">“breath of God”</w:t>
      </w:r>
      <w:r>
        <w:t xml:space="preserve"> </w:t>
      </w:r>
      <w:r>
        <w:t xml:space="preserve">(v. 7,</w:t>
      </w:r>
      <w:r>
        <w:t xml:space="preserve"> </w:t>
      </w:r>
      <w:r>
        <w:rPr>
          <w:i/>
          <w:iCs/>
        </w:rPr>
        <w:t xml:space="preserve">nishmat hayyim</w:t>
      </w:r>
      <w:r>
        <w:t xml:space="preserve">) into a general spirituality of divine immanence in all human beings, used to support a universal divine spark theology that collapses the Creator/creature distinction. This must be</w:t>
      </w:r>
      <w:r>
        <w:t xml:space="preserve"> </w:t>
      </w:r>
      <w:r>
        <w:rPr>
          <w:i/>
          <w:iCs/>
        </w:rPr>
        <w:t xml:space="preserve">refuted</w:t>
      </w:r>
      <w:r>
        <w:t xml:space="preserve">. The text is describing a specific, historical, covenantal act — the formation of the first man — not a general metaphysical claim about human nature. The breath of God here is not an ontological ingredient of generic humanity but the immediate act by which a particular creature was made a</w:t>
      </w:r>
      <w:r>
        <w:t xml:space="preserve"> </w:t>
      </w:r>
      <w:r>
        <w:rPr>
          <w:i/>
          <w:iCs/>
        </w:rPr>
        <w:t xml:space="preserve">living being</w:t>
      </w:r>
      <w:r>
        <w:t xml:space="preserve"> </w:t>
      </w:r>
      <w:r>
        <w:t xml:space="preserve">(</w:t>
      </w:r>
      <w:r>
        <w:rPr>
          <w:i/>
          <w:iCs/>
        </w:rPr>
        <w:t xml:space="preserve">nephesh hayyah</w:t>
      </w:r>
      <w:r>
        <w:t xml:space="preserve">). The same Hebrew phrase is used of animals in 1:20 and 2:19, which guards against the reading that it designates a divine nature in man.</w:t>
      </w:r>
    </w:p>
    <w:p>
      <w:pPr>
        <w:pStyle w:val="BodyText"/>
      </w:pPr>
      <w:r>
        <w:rPr>
          <w:b/>
          <w:bCs/>
        </w:rPr>
        <w:t xml:space="preserve">Egalitarian vs. Complementarian Readings on the Woman:</w:t>
      </w:r>
      <w:r>
        <w:t xml:space="preserve"> </w:t>
      </w:r>
      <w:r>
        <w:t xml:space="preserve">This passage stands at the center of one of the most contested debates within evangelical hermeneutics. The egalitarian reading argues that</w:t>
      </w:r>
      <w:r>
        <w:t xml:space="preserve"> </w:t>
      </w:r>
      <w:r>
        <w:rPr>
          <w:i/>
          <w:iCs/>
        </w:rPr>
        <w:t xml:space="preserve">ezer</w:t>
      </w:r>
      <w:r>
        <w:t xml:space="preserve"> </w:t>
      </w:r>
      <w:r>
        <w:t xml:space="preserve">(helper, v. 18) does not imply subordination (since God is called Israel’s</w:t>
      </w:r>
      <w:r>
        <w:t xml:space="preserve"> </w:t>
      </w:r>
      <w:r>
        <w:rPr>
          <w:i/>
          <w:iCs/>
        </w:rPr>
        <w:t xml:space="preserve">ezer</w:t>
      </w:r>
      <w:r>
        <w:t xml:space="preserve"> </w:t>
      </w:r>
      <w:r>
        <w:t xml:space="preserve">in multiple Psalms), that the man’s naming of the woman in v. 23 is poetic recognition rather than authority, and that the hierarchical order of creation is a post-Fall development, not a creational norm. The complementarian reading argues that the creation order itself — man formed first, woman formed from the man, woman brought to the man, man naming the woman — establishes a pattern of differentiated roles that Paul explicitly invokes in 1 Timothy 2:12–13 and 1 Corinthians 11:8–9, and that</w:t>
      </w:r>
      <w:r>
        <w:t xml:space="preserve"> </w:t>
      </w:r>
      <w:r>
        <w:rPr>
          <w:i/>
          <w:iCs/>
        </w:rPr>
        <w:t xml:space="preserve">ezer</w:t>
      </w:r>
      <w:r>
        <w:t xml:space="preserve"> </w:t>
      </w:r>
      <w:r>
        <w:t xml:space="preserve">describes a complementary role of strength and support that in no way diminishes dignity while still implying distinct ordering.</w:t>
      </w:r>
      <w:r>
        <w:t xml:space="preserve"> </w:t>
      </w:r>
      <w:r>
        <w:rPr>
          <w:i/>
          <w:iCs/>
        </w:rPr>
        <w:t xml:space="preserve">Qualify</w:t>
      </w:r>
      <w:r>
        <w:t xml:space="preserve"> </w:t>
      </w:r>
      <w:r>
        <w:t xml:space="preserve">the egalitarian reading: it rightly rejects crude subordinationism and correctly insists that</w:t>
      </w:r>
      <w:r>
        <w:t xml:space="preserve"> </w:t>
      </w:r>
      <w:r>
        <w:rPr>
          <w:i/>
          <w:iCs/>
        </w:rPr>
        <w:t xml:space="preserve">ezer</w:t>
      </w:r>
      <w:r>
        <w:t xml:space="preserve"> </w:t>
      </w:r>
      <w:r>
        <w:t xml:space="preserve">in no way designates inferiority — the woman is not a servant but a corresponding strength. However, the egalitarian reading does not adequately account for the Pauline use of the creation order as itself normative for role-differentiation, nor for the narrative sequence in which the man is formed first and given the prohibition before the woman is formed — a sequence Paul treats as hermeneutically significant. The Reformed and evangelical complementarian reading (Grudem, Schreiner, Hamilton) is to be preferred: it honors both the equal dignity and the differentiated ordering embedded in the text.</w:t>
      </w:r>
    </w:p>
    <w:p>
      <w:pPr>
        <w:pStyle w:val="BodyText"/>
      </w:pPr>
      <w:r>
        <w:rPr>
          <w:b/>
          <w:bCs/>
        </w:rPr>
        <w:t xml:space="preserve">Roman Catholic Sacramental Reading:</w:t>
      </w:r>
      <w:r>
        <w:t xml:space="preserve"> </w:t>
      </w:r>
      <w:r>
        <w:t xml:space="preserve">The Roman Catholic tradition reads verse 24 (one flesh) as the foundation of marriage as a sacrament — an efficacious sign that confers grace.</w:t>
      </w:r>
      <w:r>
        <w:t xml:space="preserve"> </w:t>
      </w:r>
      <w:r>
        <w:rPr>
          <w:i/>
          <w:iCs/>
        </w:rPr>
        <w:t xml:space="preserve">Qualify</w:t>
      </w:r>
      <w:r>
        <w:t xml:space="preserve">: the RC tradition rightly elevates the theological seriousness of marriage and guards against its reduction to a social contract. However, the text does not support the sacramental inference in the technical sense. Marriage in Genesis 2 is a creational ordinance — a pattern built into the structure of the creation itself — not an ecclesial rite tied to the covenant community. The Reformed reading treats marriage as a creation ordinance (thus applicable to all human beings, not only the baptized) that carries profound typological weight (Ephesians 5:31–32) without being a sacrament in the redemptive-covenant sense.</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Genesis 3:1–24</w:t>
      </w:r>
      <w:r>
        <w:t xml:space="preserve"> </w:t>
      </w:r>
      <w:r>
        <w:t xml:space="preserve">— The Fall immediately distorts every element of Genesis 2’s design: the work becomes toil, the companion becomes an adversary, the one-flesh union generates shame. The chapter only makes full sense as the foil that Genesis 3 will shatter.</w:t>
      </w:r>
    </w:p>
    <w:p>
      <w:pPr>
        <w:pStyle w:val="Compact"/>
        <w:numPr>
          <w:ilvl w:val="0"/>
          <w:numId w:val="1001"/>
        </w:numPr>
      </w:pPr>
      <w:r>
        <w:rPr>
          <w:b/>
          <w:bCs/>
        </w:rPr>
        <w:t xml:space="preserve">Ephesians 5:31–32</w:t>
      </w:r>
      <w:r>
        <w:t xml:space="preserve"> </w:t>
      </w:r>
      <w:r>
        <w:t xml:space="preserve">— Paul explicitly cites Genesis 2:24 as the textual foundation for the mystery of Christ and the church, establishing the one-flesh union as typologically pointing forward to the covenant between the Redeemer and His bride. This is the single most important canonical trajectory from Genesis 2.</w:t>
      </w:r>
    </w:p>
    <w:p>
      <w:pPr>
        <w:pStyle w:val="Compact"/>
        <w:numPr>
          <w:ilvl w:val="0"/>
          <w:numId w:val="1001"/>
        </w:numPr>
      </w:pPr>
      <w:r>
        <w:rPr>
          <w:b/>
          <w:bCs/>
        </w:rPr>
        <w:t xml:space="preserve">Matthew 19:3–9</w:t>
      </w:r>
      <w:r>
        <w:t xml:space="preserve"> </w:t>
      </w:r>
      <w:r>
        <w:t xml:space="preserve">— Jesus appeals to</w:t>
      </w:r>
      <w:r>
        <w:t xml:space="preserve"> </w:t>
      </w:r>
      <w:r>
        <w:t xml:space="preserve">“from the beginning”</w:t>
      </w:r>
      <w:r>
        <w:t xml:space="preserve"> </w:t>
      </w:r>
      <w:r>
        <w:t xml:space="preserve">and cites Genesis 2:24 directly in His teaching on divorce, establishing the creational norm as the binding standard and subordinating the Mosaic concession to it. Grounds the permanent authority of the creational design.</w:t>
      </w:r>
    </w:p>
    <w:p>
      <w:pPr>
        <w:pStyle w:val="Compact"/>
        <w:numPr>
          <w:ilvl w:val="0"/>
          <w:numId w:val="1001"/>
        </w:numPr>
      </w:pPr>
      <w:r>
        <w:rPr>
          <w:b/>
          <w:bCs/>
        </w:rPr>
        <w:t xml:space="preserve">1 Corinthians 15:45–49</w:t>
      </w:r>
      <w:r>
        <w:t xml:space="preserve"> </w:t>
      </w:r>
      <w:r>
        <w:t xml:space="preserve">— Paul’s</w:t>
      </w:r>
      <w:r>
        <w:t xml:space="preserve"> </w:t>
      </w:r>
      <w:r>
        <w:t xml:space="preserve">“second Adam”</w:t>
      </w:r>
      <w:r>
        <w:t xml:space="preserve"> </w:t>
      </w:r>
      <w:r>
        <w:t xml:space="preserve">typology traces back to Genesis 2:7 (the man becoming a living being), contrasting the first Adam who received the breath of physical life with the last Adam who is himself the life-giving Spirit. Genesis 2 is the typological foundation for the entire Adam/Christ structure of redemptive history.</w:t>
      </w:r>
    </w:p>
    <w:p>
      <w:pPr>
        <w:pStyle w:val="Compact"/>
        <w:numPr>
          <w:ilvl w:val="0"/>
          <w:numId w:val="1001"/>
        </w:numPr>
      </w:pPr>
      <w:r>
        <w:rPr>
          <w:b/>
          <w:bCs/>
        </w:rPr>
        <w:t xml:space="preserve">Revelation 21:1–5; 22:1–5</w:t>
      </w:r>
      <w:r>
        <w:t xml:space="preserve"> </w:t>
      </w:r>
      <w:r>
        <w:t xml:space="preserve">— The new creation restores and transcends the Eden design: purposeful work (service, 22:3), the river and the tree of life (22:1–2), unashamed face-to-face presence with God (22:4). What Genesis 2 establishes as the design, Revelation 21–22 delivers as the consummation.</w:t>
      </w:r>
    </w:p>
    <w:p>
      <w:r>
        <w:pict>
          <v:rect style="width:0;height:1.5pt" o:hralign="center" o:hrstd="t" o:hr="t"/>
        </w:pict>
      </w:r>
    </w:p>
    <w:p>
      <w:pPr>
        <w:pStyle w:val="FirstParagraph"/>
      </w:pPr>
      <w:r>
        <w:rPr>
          <w:b/>
          <w:bCs/>
        </w:rPr>
        <w:t xml:space="preserve">Aim:</w:t>
      </w:r>
      <w:r>
        <w:t xml:space="preserve"> </w:t>
      </w:r>
      <w:r>
        <w:t xml:space="preserve">To show the reader that Genesis 2 is not ancient background material but the living design-document for human flourishing — and that Christ’s redemptive work is aimed precisely at restoring what this chapter describes.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2:1–3</w:t>
            </w:r>
          </w:p>
        </w:tc>
        <w:tc>
          <w:tcPr/>
          <w:p>
            <w:pPr>
              <w:pStyle w:val="Compact"/>
            </w:pPr>
            <w:r>
              <w:t xml:space="preserve">God completes His work and rests on the seventh day; blesses and hallows it</w:t>
            </w:r>
          </w:p>
        </w:tc>
        <w:tc>
          <w:tcPr/>
          <w:p>
            <w:pPr>
              <w:pStyle w:val="Compact"/>
            </w:pPr>
            <w:r>
              <w:t xml:space="preserve">Sabbath rest crowned into creation’s structure; rest is not cessation but completion and delight</w:t>
            </w:r>
          </w:p>
        </w:tc>
      </w:tr>
      <w:tr>
        <w:tc>
          <w:tcPr/>
          <w:p>
            <w:pPr>
              <w:pStyle w:val="Compact"/>
            </w:pPr>
            <w:r>
              <w:t xml:space="preserve">2:4</w:t>
            </w:r>
          </w:p>
        </w:tc>
        <w:tc>
          <w:tcPr/>
          <w:p>
            <w:pPr>
              <w:pStyle w:val="Compact"/>
            </w:pPr>
            <w:r>
              <w:t xml:space="preserve">The toledoth formula:</w:t>
            </w:r>
            <w:r>
              <w:t xml:space="preserve"> </w:t>
            </w:r>
            <w:r>
              <w:t xml:space="preserve">“These are the generations of the heavens and the earth”</w:t>
            </w:r>
          </w:p>
        </w:tc>
        <w:tc>
          <w:tcPr/>
          <w:p>
            <w:pPr>
              <w:pStyle w:val="Compact"/>
            </w:pPr>
            <w:r>
              <w:t xml:space="preserve">Section marker; transitions from the macro-account of ch. 1 to the micro-account of ch. 2;</w:t>
            </w:r>
            <w:r>
              <w:t xml:space="preserve"> </w:t>
            </w:r>
            <w:r>
              <w:rPr>
                <w:i/>
                <w:iCs/>
              </w:rPr>
              <w:t xml:space="preserve">YHWH Elohim</w:t>
            </w:r>
            <w:r>
              <w:t xml:space="preserve"> </w:t>
            </w:r>
            <w:r>
              <w:t xml:space="preserve">introduced</w:t>
            </w:r>
          </w:p>
        </w:tc>
      </w:tr>
      <w:tr>
        <w:tc>
          <w:tcPr/>
          <w:p>
            <w:pPr>
              <w:pStyle w:val="Compact"/>
            </w:pPr>
            <w:r>
              <w:t xml:space="preserve">2:5–6</w:t>
            </w:r>
          </w:p>
        </w:tc>
        <w:tc>
          <w:tcPr/>
          <w:p>
            <w:pPr>
              <w:pStyle w:val="Compact"/>
            </w:pPr>
            <w:r>
              <w:t xml:space="preserve">No shrub or plant yet — no man to work the ground; a mist waters the earth</w:t>
            </w:r>
          </w:p>
        </w:tc>
        <w:tc>
          <w:tcPr/>
          <w:p>
            <w:pPr>
              <w:pStyle w:val="Compact"/>
            </w:pPr>
            <w:r>
              <w:t xml:space="preserve">Agricultural context established; the man’s purpose (working the ground) precedes his formation</w:t>
            </w:r>
          </w:p>
        </w:tc>
      </w:tr>
      <w:tr>
        <w:tc>
          <w:tcPr/>
          <w:p>
            <w:pPr>
              <w:pStyle w:val="Compact"/>
            </w:pPr>
            <w:r>
              <w:t xml:space="preserve">2:7</w:t>
            </w:r>
          </w:p>
        </w:tc>
        <w:tc>
          <w:tcPr/>
          <w:p>
            <w:pPr>
              <w:pStyle w:val="Compact"/>
            </w:pPr>
            <w:r>
              <w:t xml:space="preserve">YHWH God forms the man (</w:t>
            </w:r>
            <w:r>
              <w:rPr>
                <w:i/>
                <w:iCs/>
              </w:rPr>
              <w:t xml:space="preserve">adam</w:t>
            </w:r>
            <w:r>
              <w:t xml:space="preserve">) from the dust of the ground (</w:t>
            </w:r>
            <w:r>
              <w:rPr>
                <w:i/>
                <w:iCs/>
              </w:rPr>
              <w:t xml:space="preserve">adamah</w:t>
            </w:r>
            <w:r>
              <w:t xml:space="preserve">); breathes</w:t>
            </w:r>
            <w:r>
              <w:t xml:space="preserve"> </w:t>
            </w:r>
            <w:r>
              <w:rPr>
                <w:i/>
                <w:iCs/>
              </w:rPr>
              <w:t xml:space="preserve">nishmat hayyim</w:t>
            </w:r>
            <w:r>
              <w:t xml:space="preserve"> </w:t>
            </w:r>
            <w:r>
              <w:t xml:space="preserve">into his nostrils; man becomes a</w:t>
            </w:r>
            <w:r>
              <w:t xml:space="preserve"> </w:t>
            </w:r>
            <w:r>
              <w:rPr>
                <w:i/>
                <w:iCs/>
              </w:rPr>
              <w:t xml:space="preserve">nephesh hayyah</w:t>
            </w:r>
          </w:p>
        </w:tc>
        <w:tc>
          <w:tcPr/>
          <w:p>
            <w:pPr>
              <w:pStyle w:val="Compact"/>
            </w:pPr>
            <w:r>
              <w:t xml:space="preserve">Intimate, material formation — potter and clay; dust-to-dust origin established; the name</w:t>
            </w:r>
            <w:r>
              <w:t xml:space="preserve"> </w:t>
            </w:r>
            <w:r>
              <w:rPr>
                <w:i/>
                <w:iCs/>
              </w:rPr>
              <w:t xml:space="preserve">adam/adamah</w:t>
            </w:r>
            <w:r>
              <w:t xml:space="preserve"> </w:t>
            </w:r>
            <w:r>
              <w:t xml:space="preserve">wordplay signals earthy creaturely identity</w:t>
            </w:r>
          </w:p>
        </w:tc>
      </w:tr>
      <w:tr>
        <w:tc>
          <w:tcPr/>
          <w:p>
            <w:pPr>
              <w:pStyle w:val="Compact"/>
            </w:pPr>
            <w:r>
              <w:t xml:space="preserve">2:8–9</w:t>
            </w:r>
          </w:p>
        </w:tc>
        <w:tc>
          <w:tcPr/>
          <w:p>
            <w:pPr>
              <w:pStyle w:val="Compact"/>
            </w:pPr>
            <w:r>
              <w:t xml:space="preserve">God plants a garden in Eden eastward; places the man there; grows every tree pleasing and good for food; tree of life and tree of the knowledge of good and evil in the midst</w:t>
            </w:r>
          </w:p>
        </w:tc>
        <w:tc>
          <w:tcPr/>
          <w:p>
            <w:pPr>
              <w:pStyle w:val="Compact"/>
            </w:pPr>
            <w:r>
              <w:t xml:space="preserve">Garden as gift, provision, and test-space; both trees centrally located — neither hidden</w:t>
            </w:r>
          </w:p>
        </w:tc>
      </w:tr>
      <w:tr>
        <w:tc>
          <w:tcPr/>
          <w:p>
            <w:pPr>
              <w:pStyle w:val="Compact"/>
            </w:pPr>
            <w:r>
              <w:t xml:space="preserve">2:10–14</w:t>
            </w:r>
          </w:p>
        </w:tc>
        <w:tc>
          <w:tcPr/>
          <w:p>
            <w:pPr>
              <w:pStyle w:val="Compact"/>
            </w:pPr>
            <w:r>
              <w:t xml:space="preserve">River flows from Eden and divides into four rivers: Pishon, Gihon, Tigris, Euphrates</w:t>
            </w:r>
          </w:p>
        </w:tc>
        <w:tc>
          <w:tcPr/>
          <w:p>
            <w:pPr>
              <w:pStyle w:val="Compact"/>
            </w:pPr>
            <w:r>
              <w:t xml:space="preserve">Geographical anchoring; the Eden design is not mythological geography — it is presented as real, located space; gold, bdellium, onyx noted (creation’s abundance)</w:t>
            </w:r>
          </w:p>
        </w:tc>
      </w:tr>
      <w:tr>
        <w:tc>
          <w:tcPr/>
          <w:p>
            <w:pPr>
              <w:pStyle w:val="Compact"/>
            </w:pPr>
            <w:r>
              <w:t xml:space="preserve">2:15</w:t>
            </w:r>
          </w:p>
        </w:tc>
        <w:tc>
          <w:tcPr/>
          <w:p>
            <w:pPr>
              <w:pStyle w:val="Compact"/>
            </w:pPr>
            <w:r>
              <w:t xml:space="preserve">God takes the man and places him in the garden</w:t>
            </w:r>
            <w:r>
              <w:t xml:space="preserve"> </w:t>
            </w:r>
            <w:r>
              <w:t xml:space="preserve">“to work it and keep it”</w:t>
            </w:r>
            <w:r>
              <w:t xml:space="preserve"> </w:t>
            </w:r>
            <w:r>
              <w:t xml:space="preserve">(</w:t>
            </w:r>
            <w:r>
              <w:rPr>
                <w:i/>
                <w:iCs/>
              </w:rPr>
              <w:t xml:space="preserve">le’avdah ule’shomrah</w:t>
            </w:r>
            <w:r>
              <w:t xml:space="preserve">)</w:t>
            </w:r>
          </w:p>
        </w:tc>
        <w:tc>
          <w:tcPr/>
          <w:p>
            <w:pPr>
              <w:pStyle w:val="Compact"/>
            </w:pPr>
            <w:r>
              <w:t xml:space="preserve">Work is pre-Fall, not post-Fall;</w:t>
            </w:r>
            <w:r>
              <w:t xml:space="preserve"> </w:t>
            </w:r>
            <w:r>
              <w:rPr>
                <w:i/>
                <w:iCs/>
              </w:rPr>
              <w:t xml:space="preserve">avad</w:t>
            </w:r>
            <w:r>
              <w:t xml:space="preserve"> </w:t>
            </w:r>
            <w:r>
              <w:t xml:space="preserve">= serve/work;</w:t>
            </w:r>
            <w:r>
              <w:t xml:space="preserve"> </w:t>
            </w:r>
            <w:r>
              <w:rPr>
                <w:i/>
                <w:iCs/>
              </w:rPr>
              <w:t xml:space="preserve">shamar</w:t>
            </w:r>
            <w:r>
              <w:t xml:space="preserve"> </w:t>
            </w:r>
            <w:r>
              <w:t xml:space="preserve">= guard/keep; priestly-royal commission</w:t>
            </w:r>
          </w:p>
        </w:tc>
      </w:tr>
      <w:tr>
        <w:tc>
          <w:tcPr/>
          <w:p>
            <w:pPr>
              <w:pStyle w:val="Compact"/>
            </w:pPr>
            <w:r>
              <w:t xml:space="preserve">2:16–17</w:t>
            </w:r>
          </w:p>
        </w:tc>
        <w:tc>
          <w:tcPr/>
          <w:p>
            <w:pPr>
              <w:pStyle w:val="Compact"/>
            </w:pPr>
            <w:r>
              <w:t xml:space="preserve">God commands: eat freely of every tree; but of the tree of knowledge of good and evil, do not eat —</w:t>
            </w:r>
            <w:r>
              <w:t xml:space="preserve"> </w:t>
            </w:r>
            <w:r>
              <w:t xml:space="preserve">“in the day you eat of it you shall surely die”</w:t>
            </w:r>
          </w:p>
        </w:tc>
        <w:tc>
          <w:tcPr/>
          <w:p>
            <w:pPr>
              <w:pStyle w:val="Compact"/>
            </w:pPr>
            <w:r>
              <w:t xml:space="preserve">First divine speech to man; one prohibition within comprehensive freedom; death linked to disobedience; covenantal terms established</w:t>
            </w:r>
          </w:p>
        </w:tc>
      </w:tr>
      <w:tr>
        <w:tc>
          <w:tcPr/>
          <w:p>
            <w:pPr>
              <w:pStyle w:val="Compact"/>
            </w:pPr>
            <w:r>
              <w:t xml:space="preserve">2:18</w:t>
            </w:r>
          </w:p>
        </w:tc>
        <w:tc>
          <w:tcPr/>
          <w:p>
            <w:pPr>
              <w:pStyle w:val="Compact"/>
            </w:pPr>
            <w:r>
              <w:t xml:space="preserve">God declares:</w:t>
            </w:r>
            <w:r>
              <w:t xml:space="preserve"> </w:t>
            </w:r>
            <w:r>
              <w:t xml:space="preserve">“It is not good that the man should be alone; I will make him a helper fit for him (</w:t>
            </w:r>
            <w:r>
              <w:rPr>
                <w:i/>
                <w:iCs/>
              </w:rPr>
              <w:t xml:space="preserve">ezer kenegdo</w:t>
            </w:r>
            <w:r>
              <w:t xml:space="preserve">)”</w:t>
            </w:r>
          </w:p>
        </w:tc>
        <w:tc>
          <w:tcPr/>
          <w:p>
            <w:pPr>
              <w:pStyle w:val="Compact"/>
            </w:pPr>
            <w:r>
              <w:t xml:space="preserve">First</w:t>
            </w:r>
            <w:r>
              <w:t xml:space="preserve"> </w:t>
            </w:r>
            <w:r>
              <w:t xml:space="preserve">“not good”</w:t>
            </w:r>
            <w:r>
              <w:t xml:space="preserve"> </w:t>
            </w:r>
            <w:r>
              <w:t xml:space="preserve">in creation; note the divine initiative — God, not the man, identifies the lack;</w:t>
            </w:r>
            <w:r>
              <w:t xml:space="preserve"> </w:t>
            </w:r>
            <w:r>
              <w:rPr>
                <w:i/>
                <w:iCs/>
              </w:rPr>
              <w:t xml:space="preserve">ezer kenegdo</w:t>
            </w:r>
            <w:r>
              <w:t xml:space="preserve"> </w:t>
            </w:r>
            <w:r>
              <w:t xml:space="preserve">= a helper corresponding to, opposite-of, facing him</w:t>
            </w:r>
          </w:p>
        </w:tc>
      </w:tr>
      <w:tr>
        <w:tc>
          <w:tcPr/>
          <w:p>
            <w:pPr>
              <w:pStyle w:val="Compact"/>
            </w:pPr>
            <w:r>
              <w:t xml:space="preserve">2:19–20</w:t>
            </w:r>
          </w:p>
        </w:tc>
        <w:tc>
          <w:tcPr/>
          <w:p>
            <w:pPr>
              <w:pStyle w:val="Compact"/>
            </w:pPr>
            <w:r>
              <w:t xml:space="preserve">God forms every beast and bird; brings them to the man to name; man names all — but no</w:t>
            </w:r>
            <w:r>
              <w:t xml:space="preserve"> </w:t>
            </w:r>
            <w:r>
              <w:rPr>
                <w:i/>
                <w:iCs/>
              </w:rPr>
              <w:t xml:space="preserve">ezer kenegdo</w:t>
            </w:r>
            <w:r>
              <w:t xml:space="preserve"> </w:t>
            </w:r>
            <w:r>
              <w:t xml:space="preserve">found among them</w:t>
            </w:r>
          </w:p>
        </w:tc>
        <w:tc>
          <w:tcPr/>
          <w:p>
            <w:pPr>
              <w:pStyle w:val="Compact"/>
            </w:pPr>
            <w:r>
              <w:t xml:space="preserve">Naming = exercising authority and comprehension; the parade of animals reveals the deficit and sharpens the man’s longing; he sees what he does not have</w:t>
            </w:r>
          </w:p>
        </w:tc>
      </w:tr>
      <w:tr>
        <w:tc>
          <w:tcPr/>
          <w:p>
            <w:pPr>
              <w:pStyle w:val="Compact"/>
            </w:pPr>
            <w:r>
              <w:t xml:space="preserve">2:21–22</w:t>
            </w:r>
          </w:p>
        </w:tc>
        <w:tc>
          <w:tcPr/>
          <w:p>
            <w:pPr>
              <w:pStyle w:val="Compact"/>
            </w:pPr>
            <w:r>
              <w:t xml:space="preserve">God causes deep sleep; takes the rib/side (</w:t>
            </w:r>
            <w:r>
              <w:rPr>
                <w:i/>
                <w:iCs/>
              </w:rPr>
              <w:t xml:space="preserve">tsela</w:t>
            </w:r>
            <w:r>
              <w:t xml:space="preserve">); closes up the flesh; builds the woman from the rib; brings her to the man</w:t>
            </w:r>
          </w:p>
        </w:tc>
        <w:tc>
          <w:tcPr/>
          <w:p>
            <w:pPr>
              <w:pStyle w:val="Compact"/>
            </w:pPr>
            <w:r>
              <w:rPr>
                <w:i/>
                <w:iCs/>
              </w:rPr>
              <w:t xml:space="preserve">Tsela</w:t>
            </w:r>
            <w:r>
              <w:t xml:space="preserve"> </w:t>
            </w:r>
            <w:r>
              <w:t xml:space="preserve">can mean</w:t>
            </w:r>
            <w:r>
              <w:t xml:space="preserve"> </w:t>
            </w:r>
            <w:r>
              <w:t xml:space="preserve">“side”</w:t>
            </w:r>
            <w:r>
              <w:t xml:space="preserve"> </w:t>
            </w:r>
            <w:r>
              <w:t xml:space="preserve">— not merely a fragment but a substantial portion; the woman is not a byproduct but a crafted, God-presented gift</w:t>
            </w:r>
          </w:p>
        </w:tc>
      </w:tr>
      <w:tr>
        <w:tc>
          <w:tcPr/>
          <w:p>
            <w:pPr>
              <w:pStyle w:val="Compact"/>
            </w:pPr>
            <w:r>
              <w:t xml:space="preserve">2:23</w:t>
            </w:r>
          </w:p>
        </w:tc>
        <w:tc>
          <w:tcPr/>
          <w:p>
            <w:pPr>
              <w:pStyle w:val="Compact"/>
            </w:pPr>
            <w:r>
              <w:t xml:space="preserve">Man’s first speech:</w:t>
            </w:r>
            <w:r>
              <w:t xml:space="preserve"> </w:t>
            </w:r>
            <w:r>
              <w:t xml:space="preserve">“This at last is bone of my bones and flesh of my flesh; she shall be called Woman (</w:t>
            </w:r>
            <w:r>
              <w:rPr>
                <w:i/>
                <w:iCs/>
              </w:rPr>
              <w:t xml:space="preserve">ishah</w:t>
            </w:r>
            <w:r>
              <w:t xml:space="preserve">) because she was taken out of Man (</w:t>
            </w:r>
            <w:r>
              <w:rPr>
                <w:i/>
                <w:iCs/>
              </w:rPr>
              <w:t xml:space="preserve">ish</w:t>
            </w:r>
            <w:r>
              <w:t xml:space="preserve">)”</w:t>
            </w:r>
          </w:p>
        </w:tc>
        <w:tc>
          <w:tcPr/>
          <w:p>
            <w:pPr>
              <w:pStyle w:val="Compact"/>
            </w:pPr>
            <w:r>
              <w:t xml:space="preserve">Poetic recognition and exultation —</w:t>
            </w:r>
            <w:r>
              <w:t xml:space="preserve"> </w:t>
            </w:r>
            <w:r>
              <w:t xml:space="preserve">“at last!”</w:t>
            </w:r>
            <w:r>
              <w:t xml:space="preserve">; naming acknowledges origin, dignity, and correspondence;</w:t>
            </w:r>
            <w:r>
              <w:t xml:space="preserve"> </w:t>
            </w:r>
            <w:r>
              <w:rPr>
                <w:i/>
                <w:iCs/>
              </w:rPr>
              <w:t xml:space="preserve">ish/ishah</w:t>
            </w:r>
            <w:r>
              <w:t xml:space="preserve"> </w:t>
            </w:r>
            <w:r>
              <w:t xml:space="preserve">wordplay signals essential unity-in-distinction</w:t>
            </w:r>
          </w:p>
        </w:tc>
      </w:tr>
      <w:tr>
        <w:tc>
          <w:tcPr/>
          <w:p>
            <w:pPr>
              <w:pStyle w:val="Compact"/>
            </w:pPr>
            <w:r>
              <w:t xml:space="preserve">2:24</w:t>
            </w:r>
          </w:p>
        </w:tc>
        <w:tc>
          <w:tcPr/>
          <w:p>
            <w:pPr>
              <w:pStyle w:val="Compact"/>
            </w:pPr>
            <w:r>
              <w:t xml:space="preserve">“Therefore a man shall leave his father and his mother and hold fast to his wife, and they shall become one flesh”</w:t>
            </w:r>
          </w:p>
        </w:tc>
        <w:tc>
          <w:tcPr/>
          <w:p>
            <w:pPr>
              <w:pStyle w:val="Compact"/>
            </w:pPr>
            <w:r>
              <w:t xml:space="preserve">Narrator’s theological commentary (not the man’s speech); the creational norm for marriage — leaving, cleaving, one flesh; the</w:t>
            </w:r>
            <w:r>
              <w:t xml:space="preserve"> </w:t>
            </w:r>
            <w:r>
              <w:t xml:space="preserve">“therefore”</w:t>
            </w:r>
            <w:r>
              <w:t xml:space="preserve"> </w:t>
            </w:r>
            <w:r>
              <w:t xml:space="preserve">grounds marriage in the creation event</w:t>
            </w:r>
          </w:p>
        </w:tc>
      </w:tr>
      <w:tr>
        <w:tc>
          <w:tcPr/>
          <w:p>
            <w:pPr>
              <w:pStyle w:val="Compact"/>
            </w:pPr>
            <w:r>
              <w:t xml:space="preserve">2:25</w:t>
            </w:r>
          </w:p>
        </w:tc>
        <w:tc>
          <w:tcPr/>
          <w:p>
            <w:pPr>
              <w:pStyle w:val="Compact"/>
            </w:pPr>
            <w:r>
              <w:t xml:space="preserve">The man and his wife were both naked and were not ashamed</w:t>
            </w:r>
          </w:p>
        </w:tc>
        <w:tc>
          <w:tcPr/>
          <w:p>
            <w:pPr>
              <w:pStyle w:val="Compact"/>
            </w:pPr>
            <w:r>
              <w:t xml:space="preserve">Pre-Fall wholeness: no shame, no hiding, no fracture; this state is the baseline against which ch. 3’s shame will register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2:1–3</w:t>
            </w:r>
          </w:p>
        </w:tc>
        <w:tc>
          <w:tcPr/>
          <w:p>
            <w:pPr>
              <w:pStyle w:val="Compact"/>
            </w:pPr>
            <w:r>
              <w:t xml:space="preserve">The Sabbath Crown: Rest Hallowed into Creation</w:t>
            </w:r>
          </w:p>
        </w:tc>
      </w:tr>
      <w:tr>
        <w:tc>
          <w:tcPr/>
          <w:p>
            <w:pPr>
              <w:pStyle w:val="Compact"/>
            </w:pPr>
            <w:r>
              <w:t xml:space="preserve">2</w:t>
            </w:r>
          </w:p>
        </w:tc>
        <w:tc>
          <w:tcPr/>
          <w:p>
            <w:pPr>
              <w:pStyle w:val="Compact"/>
            </w:pPr>
            <w:r>
              <w:t xml:space="preserve">2:4–7</w:t>
            </w:r>
          </w:p>
        </w:tc>
        <w:tc>
          <w:tcPr/>
          <w:p>
            <w:pPr>
              <w:pStyle w:val="Compact"/>
            </w:pPr>
            <w:r>
              <w:t xml:space="preserve">The Man Formed: Dust, Breath, and Covenant Name</w:t>
            </w:r>
          </w:p>
        </w:tc>
      </w:tr>
      <w:tr>
        <w:tc>
          <w:tcPr/>
          <w:p>
            <w:pPr>
              <w:pStyle w:val="Compact"/>
            </w:pPr>
            <w:r>
              <w:t xml:space="preserve">3</w:t>
            </w:r>
          </w:p>
        </w:tc>
        <w:tc>
          <w:tcPr/>
          <w:p>
            <w:pPr>
              <w:pStyle w:val="Compact"/>
            </w:pPr>
            <w:r>
              <w:t xml:space="preserve">2:8–17</w:t>
            </w:r>
          </w:p>
        </w:tc>
        <w:tc>
          <w:tcPr/>
          <w:p>
            <w:pPr>
              <w:pStyle w:val="Compact"/>
            </w:pPr>
            <w:r>
              <w:t xml:space="preserve">The Garden Given: Provision, Commission, and Prohibition</w:t>
            </w:r>
          </w:p>
        </w:tc>
      </w:tr>
      <w:tr>
        <w:tc>
          <w:tcPr/>
          <w:p>
            <w:pPr>
              <w:pStyle w:val="Compact"/>
            </w:pPr>
            <w:r>
              <w:t xml:space="preserve">4</w:t>
            </w:r>
          </w:p>
        </w:tc>
        <w:tc>
          <w:tcPr/>
          <w:p>
            <w:pPr>
              <w:pStyle w:val="Compact"/>
            </w:pPr>
            <w:r>
              <w:t xml:space="preserve">2:18–23</w:t>
            </w:r>
          </w:p>
        </w:tc>
        <w:tc>
          <w:tcPr/>
          <w:p>
            <w:pPr>
              <w:pStyle w:val="Compact"/>
            </w:pPr>
            <w:r>
              <w:t xml:space="preserve">The Woman Formed: Loneliness, Gift, and Exultant Recognition</w:t>
            </w:r>
          </w:p>
        </w:tc>
      </w:tr>
      <w:tr>
        <w:tc>
          <w:tcPr/>
          <w:p>
            <w:pPr>
              <w:pStyle w:val="Compact"/>
            </w:pPr>
            <w:r>
              <w:t xml:space="preserve">5</w:t>
            </w:r>
          </w:p>
        </w:tc>
        <w:tc>
          <w:tcPr/>
          <w:p>
            <w:pPr>
              <w:pStyle w:val="Compact"/>
            </w:pPr>
            <w:r>
              <w:t xml:space="preserve">2:24–25</w:t>
            </w:r>
          </w:p>
        </w:tc>
        <w:tc>
          <w:tcPr/>
          <w:p>
            <w:pPr>
              <w:pStyle w:val="Compact"/>
            </w:pPr>
            <w:r>
              <w:t xml:space="preserve">The Covenant Named: Leaving, Cleaving, and Unashamed Union</w:t>
            </w:r>
          </w:p>
        </w:tc>
      </w:tr>
    </w:tbl>
    <w:p>
      <w:r>
        <w:pict>
          <v:rect style="width:0;height:1.5pt" o:hralign="center" o:hrstd="t" o:hr="t"/>
        </w:pict>
      </w:r>
    </w:p>
    <w:p>
      <w:pPr>
        <w:pStyle w:val="FirstParagraph"/>
      </w:pPr>
      <w:r>
        <w:rPr>
          <w:b/>
          <w:bCs/>
        </w:rPr>
        <w:t xml:space="preserve">Subject Sentence:</w:t>
      </w:r>
      <w:r>
        <w:t xml:space="preserve"> </w:t>
      </w:r>
      <w:r>
        <w:t xml:space="preserve">God designs human life for purposeful work, covenantal companionship, and one-flesh union.</w:t>
      </w:r>
    </w:p>
    <w:p>
      <w:pPr>
        <w:pStyle w:val="BodyText"/>
      </w:pPr>
      <w:r>
        <w:rPr>
          <w:b/>
          <w:bCs/>
        </w:rPr>
        <w:t xml:space="preserve">Primary Claim:</w:t>
      </w:r>
      <w:r>
        <w:t xml:space="preserve"> </w:t>
      </w:r>
      <w:r>
        <w:t xml:space="preserve">God is here establishing the original, normative pattern for human flourishing — work, companion, covenant — so that the reader understands both what we were made for and what the gospel is in the business of restoring.</w:t>
      </w:r>
    </w:p>
    <w:p>
      <w:r>
        <w:pict>
          <v:rect style="width:0;height:1.5pt" o:hralign="center" o:hrstd="t" o:hr="t"/>
        </w:pict>
      </w:r>
    </w:p>
    <w:bookmarkEnd w:id="13"/>
    <w:bookmarkStart w:id="14" w:name="applications-five"/>
    <w:p>
      <w:pPr>
        <w:pStyle w:val="Heading2"/>
      </w:pPr>
      <w:r>
        <w:t xml:space="preserve">Applications (Five)</w:t>
      </w:r>
    </w:p>
    <w:p>
      <w:pPr>
        <w:pStyle w:val="FirstParagraph"/>
      </w:pPr>
      <w:r>
        <w:rPr>
          <w:b/>
          <w:bCs/>
        </w:rPr>
        <w:t xml:space="preserve">1. Your work is not a punishment — it is part of who you were made to be.</w:t>
      </w:r>
      <w:r>
        <w:t xml:space="preserve"> </w:t>
      </w:r>
      <w:r>
        <w:rPr>
          <w:i/>
          <w:iCs/>
        </w:rPr>
        <w:t xml:space="preserve">(Mind/Belief)</w:t>
      </w:r>
      <w:r>
        <w:t xml:space="preserve"> </w:t>
      </w:r>
      <w:r>
        <w:t xml:space="preserve">Before the Fall, before the curse, the man was given a garden to work and keep. The commission to labor is not Genesis 3’s invention — it is Genesis 2’s gift. Many Christians carry a functional belief that work is the Fall’s imposition and heaven will be its elimination. This passage dismantles that. If you have reduced your daily labor to a necessary evil endured until retirement or glory, you have misread the design. The restoration the gospel promises does not abolish work — it redeems it. Begin treating your particular calling, vocation, and daily labor as the particular field God has placed you in to work and keep — not as a sentence to be survived.</w:t>
      </w:r>
    </w:p>
    <w:p>
      <w:pPr>
        <w:pStyle w:val="BodyText"/>
      </w:pPr>
      <w:r>
        <w:rPr>
          <w:b/>
          <w:bCs/>
        </w:rPr>
        <w:t xml:space="preserve">2. The loneliness that aches in you is not a malfunction — it is a design signal.</w:t>
      </w:r>
      <w:r>
        <w:t xml:space="preserve"> </w:t>
      </w:r>
      <w:r>
        <w:rPr>
          <w:i/>
          <w:iCs/>
        </w:rPr>
        <w:t xml:space="preserve">(Affections/Worship)</w:t>
      </w:r>
      <w:r>
        <w:t xml:space="preserve"> </w:t>
      </w:r>
      <w:r>
        <w:t xml:space="preserve">God Himself declared aloneness</w:t>
      </w:r>
      <w:r>
        <w:t xml:space="preserve"> </w:t>
      </w:r>
      <w:r>
        <w:t xml:space="preserve">“not good.”</w:t>
      </w:r>
      <w:r>
        <w:t xml:space="preserve"> </w:t>
      </w:r>
      <w:r>
        <w:t xml:space="preserve">He did not rebuke the man for lacking sufficient gratitude for the garden, the provision, and the divine presence. He identified the lack honestly and moved to address it. If you are carrying an ache for genuine covenant companionship and find yourself tempted either to despair over it or to dismiss it as weakness, this passage gives you permission neither to despair nor to dismiss — but to bring that ache honestly before the God who named it first. The longing for a companion who is</w:t>
      </w:r>
      <w:r>
        <w:t xml:space="preserve"> </w:t>
      </w:r>
      <w:r>
        <w:t xml:space="preserve">“bone of your bone”</w:t>
      </w:r>
      <w:r>
        <w:t xml:space="preserve"> </w:t>
      </w:r>
      <w:r>
        <w:t xml:space="preserve">is not sentimental self-indulgence. It is a built-in signal of a design that God Himself installed. Bring it to Him as such.</w:t>
      </w:r>
    </w:p>
    <w:p>
      <w:pPr>
        <w:pStyle w:val="BodyText"/>
      </w:pPr>
      <w:r>
        <w:rPr>
          <w:b/>
          <w:bCs/>
        </w:rPr>
        <w:t xml:space="preserve">3. Marriage is a covenant institution ordered by God before the Fall — not a cultural artifact you may redesign according to preference.</w:t>
      </w:r>
      <w:r>
        <w:t xml:space="preserve"> </w:t>
      </w:r>
      <w:r>
        <w:rPr>
          <w:i/>
          <w:iCs/>
        </w:rPr>
        <w:t xml:space="preserve">(Mind/Belief)</w:t>
      </w:r>
      <w:r>
        <w:t xml:space="preserve"> </w:t>
      </w:r>
      <w:r>
        <w:t xml:space="preserve">The one-flesh union of verse 24 is not a social construction. It is not a cultural form that has evolved and may continue to evolve. It is the narrator’s theological commentary on a creation event — which is precisely why Jesus treats it as binding and permanent in Matthew 19. The contemporary culture’s confidence that it may redefine the content, form, and permanence of marriage is not a discovery — it is a rebellion against the creational order. Preaching and teaching that soft-pedals this because the congregation is largely divorced, or largely sympathetic to same-sex relationships, is not pastoral sensitivity — it is the abandonment of the people to a lie. The design is good, which is precisely why its distortion produces such wreckage.</w:t>
      </w:r>
    </w:p>
    <w:p>
      <w:pPr>
        <w:pStyle w:val="BodyText"/>
      </w:pPr>
      <w:r>
        <w:rPr>
          <w:b/>
          <w:bCs/>
        </w:rPr>
        <w:t xml:space="preserve">4. Recognize that the gospel is aimed at restoring what this chapter describes — and live accordingly.</w:t>
      </w:r>
      <w:r>
        <w:t xml:space="preserve"> </w:t>
      </w:r>
      <w:r>
        <w:rPr>
          <w:i/>
          <w:iCs/>
        </w:rPr>
        <w:t xml:space="preserve">(Affections/Worship)</w:t>
      </w:r>
      <w:r>
        <w:t xml:space="preserve"> </w:t>
      </w:r>
      <w:r>
        <w:t xml:space="preserve">Paul’s citation of Genesis 2:24 in Ephesians 5:31–32 reveals that the one-flesh union of man and woman was always pointing forward to something larger: the covenant between Christ and His church. This means Genesis 2 is not merely backstory — it is the original type of which the new creation is the antitype. The Eden design (purposeful work, covenant companion, unashamed presence) is not what we left behind when we fell — it is what we are being moved toward in Christ. Let this enlarge your eschatological imagination: what Christ is doing for you is not merely forgiving you and taking you to heaven. He is restoring you to the design, and finally surpassing it.</w:t>
      </w:r>
    </w:p>
    <w:p>
      <w:pPr>
        <w:pStyle w:val="BodyText"/>
      </w:pPr>
      <w:r>
        <w:rPr>
          <w:b/>
          <w:bCs/>
        </w:rPr>
        <w:t xml:space="preserve">5. Examine whether the way you pursue relationship, companion, and intimacy is ordered by the creational design or by a counterfeit.</w:t>
      </w:r>
      <w:r>
        <w:t xml:space="preserve"> </w:t>
      </w:r>
      <w:r>
        <w:rPr>
          <w:i/>
          <w:iCs/>
        </w:rPr>
        <w:t xml:space="preserve">(Will/Behavior)</w:t>
      </w:r>
      <w:r>
        <w:t xml:space="preserve"> </w:t>
      </w:r>
      <w:r>
        <w:t xml:space="preserve">The man’s exultant recognition of the woman (</w:t>
      </w:r>
      <w:r>
        <w:t xml:space="preserve">“This at last!”</w:t>
      </w:r>
      <w:r>
        <w:t xml:space="preserve">) comes after a God-ordered process: the commission came before the companion; the naming of what was absent came before the gift of what was needed; the woman was presented by God, not seized by the man. The sequence is instructive. Many of the relational and sexual disorders that fracture human life follow from a refusal of that sequence — pursuing the one-flesh union outside the covenant, or the companion outside the commission, or the intimacy outside the leaving-and-cleaving. Identify specifically where your pursuit of companionship, intimacy, or belonging is running ahead of the pattern — and bring it back under the order God has established.</w:t>
      </w:r>
    </w:p>
    <w:p>
      <w:r>
        <w:pict>
          <v:rect style="width:0;height:1.5pt" o:hralign="center" o:hrstd="t" o:hr="t"/>
        </w:pict>
      </w:r>
    </w:p>
    <w:bookmarkEnd w:id="14"/>
    <w:bookmarkStart w:id="15" w:name="theological-importance"/>
    <w:p>
      <w:pPr>
        <w:pStyle w:val="Heading2"/>
      </w:pPr>
      <w:r>
        <w:t xml:space="preserve">Theological Importance</w:t>
      </w:r>
    </w:p>
    <w:p>
      <w:pPr>
        <w:pStyle w:val="FirstParagraph"/>
      </w:pPr>
      <w:r>
        <w:rPr>
          <w:b/>
          <w:bCs/>
        </w:rPr>
        <w:t xml:space="preserve">Theological Importance:</w:t>
      </w:r>
      <w:r>
        <w:t xml:space="preserve"> </w:t>
      </w:r>
      <w:r>
        <w:t xml:space="preserve">Genesis 2 is the foundational text for a creational theology of humanity — and therefore for every subsequent biblical category that touches human identity, vocation, and relationship. It establishes four irreducible theological claims: first, that human beings are</w:t>
      </w:r>
      <w:r>
        <w:t xml:space="preserve"> </w:t>
      </w:r>
      <w:r>
        <w:rPr>
          <w:i/>
          <w:iCs/>
        </w:rPr>
        <w:t xml:space="preserve">embodied</w:t>
      </w:r>
      <w:r>
        <w:t xml:space="preserve"> </w:t>
      </w:r>
      <w:r>
        <w:t xml:space="preserve">creatures formed from the ground, not spirits inhabiting bodies — the body is not incidental but constitutive; second, that human beings are</w:t>
      </w:r>
      <w:r>
        <w:t xml:space="preserve"> </w:t>
      </w:r>
      <w:r>
        <w:rPr>
          <w:i/>
          <w:iCs/>
        </w:rPr>
        <w:t xml:space="preserve">vocational</w:t>
      </w:r>
      <w:r>
        <w:t xml:space="preserve"> </w:t>
      </w:r>
      <w:r>
        <w:t xml:space="preserve">creatures given work before the Fall as an expression of the image of God, not as punishment; third, that human beings are</w:t>
      </w:r>
      <w:r>
        <w:t xml:space="preserve"> </w:t>
      </w:r>
      <w:r>
        <w:rPr>
          <w:i/>
          <w:iCs/>
        </w:rPr>
        <w:t xml:space="preserve">relational</w:t>
      </w:r>
      <w:r>
        <w:t xml:space="preserve"> </w:t>
      </w:r>
      <w:r>
        <w:t xml:space="preserve">creatures whose aloneness is</w:t>
      </w:r>
      <w:r>
        <w:t xml:space="preserve"> </w:t>
      </w:r>
      <w:r>
        <w:t xml:space="preserve">“not good”</w:t>
      </w:r>
      <w:r>
        <w:t xml:space="preserve"> </w:t>
      </w:r>
      <w:r>
        <w:t xml:space="preserve">by God’s own declaration, pointing to the irreducibly social and covenantal structure of human life; fourth, that the one-flesh union of man and woman in covenant marriage is a creation ordinance — not a cultural institution — which means it carries normative authority across all cultures and all ages. Every doctrine of marriage, work, sexuality, and human dignity requires this chapter as its foundation.</w:t>
      </w:r>
    </w:p>
    <w:p>
      <w:r>
        <w:pict>
          <v:rect style="width:0;height:1.5pt" o:hralign="center" o:hrstd="t" o:hr="t"/>
        </w:pict>
      </w:r>
    </w:p>
    <w:bookmarkEnd w:id="15"/>
    <w:bookmarkStart w:id="16"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Reformed tradition’s insistence on creational ordinances — structures built into the fabric of the creation itself by God’s design, binding on all human beings regardless of their redemptive standing — finds its primary Old Testament grounding in Genesis 2. Work, marriage, and the Sabbath rest are not Mosaic impositions later transcended; they are creational designs present before sin and therefore reflective of what it means to be human at all. The Reformed understanding of common grace — God’s preservation of creational goods and patterns even in a fallen world — depends on Genesis 2’s establishment of those goods as genuinely good before the Fall. More profoundly, the Reformed and Pauline typological reading of Genesis 2 (1 Corinthians 15, Ephesians 5) establishes that the first Adam’s commission and covenant position were always pointing forward to the last Adam, Jesus Christ, who fulfills what the first failed to keep, secures the companion the first could not protect, and brings His bride through death to an unashamed union that Genesis 2 could only foreshadow. Redemption is therefore not a Plan B — it is the unfolding of what the Garden always typologically promised.</w:t>
      </w:r>
    </w:p>
    <w:p>
      <w:r>
        <w:pict>
          <v:rect style="width:0;height:1.5pt" o:hralign="center" o:hrstd="t" o:hr="t"/>
        </w:pict>
      </w:r>
    </w:p>
    <w:bookmarkEnd w:id="16"/>
    <w:bookmarkStart w:id="17" w:name="main-takeaway"/>
    <w:p>
      <w:pPr>
        <w:pStyle w:val="Heading2"/>
      </w:pPr>
      <w:r>
        <w:t xml:space="preserve">Main Takeaway</w:t>
      </w:r>
    </w:p>
    <w:p>
      <w:pPr>
        <w:pStyle w:val="FirstParagraph"/>
      </w:pPr>
      <w:r>
        <w:t xml:space="preserve">You were not made for purposeless drifting, isolated survival, or serial self-gratification. You were made for work that matters, a companion who corresponds, and a covenant that binds. Genesis 2 is not a fairy tale about a garden long ago — it is the design document for your life. And the reason the gospel is good news is precisely this: everything this chapter describes that was shattered in chapter 3, the last Adam has come to restore — and finally to surpass — in you.</w:t>
      </w:r>
    </w:p>
    <w:p>
      <w:r>
        <w:pict>
          <v:rect style="width:0;height:1.5pt" o:hralign="center" o:hrstd="t" o:hr="t"/>
        </w:pict>
      </w:r>
    </w:p>
    <w:bookmarkEnd w:id="17"/>
    <w:bookmarkStart w:id="18" w:name="preachingteaching-pitfalls"/>
    <w:p>
      <w:pPr>
        <w:pStyle w:val="Heading2"/>
      </w:pPr>
      <w:r>
        <w:t xml:space="preserve">Preaching/Teaching Pitfalls</w:t>
      </w:r>
    </w:p>
    <w:p>
      <w:pPr>
        <w:numPr>
          <w:ilvl w:val="0"/>
          <w:numId w:val="1002"/>
        </w:numPr>
      </w:pPr>
      <w:r>
        <w:rPr>
          <w:b/>
          <w:bCs/>
        </w:rPr>
        <w:t xml:space="preserve">Treating Genesis 2 as a competing or redundant account rather than a deliberate zoom.</w:t>
      </w:r>
      <w:r>
        <w:t xml:space="preserve"> </w:t>
      </w:r>
      <w:r>
        <w:t xml:space="preserve">The most common scholarly pitfall bleeds into popular preaching when teachers feel obligated to</w:t>
      </w:r>
      <w:r>
        <w:t xml:space="preserve"> </w:t>
      </w:r>
      <w:r>
        <w:t xml:space="preserve">“explain the contradiction”</w:t>
      </w:r>
      <w:r>
        <w:t xml:space="preserve"> </w:t>
      </w:r>
      <w:r>
        <w:t xml:space="preserve">between Genesis 1 and 2 rather than expounding the two chapters as a single, two-movement literary unit. Spending the sermon on source-critical defense robs the congregation of the chapter’s actual claim. The chapters are complementary by design. Say so once and move on.</w:t>
      </w:r>
    </w:p>
    <w:p>
      <w:pPr>
        <w:numPr>
          <w:ilvl w:val="0"/>
          <w:numId w:val="1002"/>
        </w:numPr>
      </w:pPr>
      <w:r>
        <w:rPr>
          <w:b/>
          <w:bCs/>
        </w:rPr>
        <w:t xml:space="preserve">Reducing the chapter to a proof-text for complementarian/egalitarian debate and losing the chapter’s primary claim.</w:t>
      </w:r>
      <w:r>
        <w:t xml:space="preserve"> </w:t>
      </w:r>
      <w:r>
        <w:t xml:space="preserve">The gender-role question is genuinely embedded in this text and cannot be avoided. But if the sermon becomes primarily about the gender debate, the preacher has allowed a secondary controversy to eclipse the chapter’s first-order claim about the design of human flourishing. Address the text’s teaching on differentiated roles clearly and briefly, in its place — but do not let it become the sermon’s center of gravity.</w:t>
      </w:r>
    </w:p>
    <w:p>
      <w:pPr>
        <w:numPr>
          <w:ilvl w:val="0"/>
          <w:numId w:val="1002"/>
        </w:numPr>
      </w:pPr>
      <w:r>
        <w:rPr>
          <w:b/>
          <w:bCs/>
        </w:rPr>
        <w:t xml:space="preserve">Treating work as a Fall-consequence rather than a creation-gift.</w:t>
      </w:r>
      <w:r>
        <w:t xml:space="preserve"> </w:t>
      </w:r>
      <w:r>
        <w:t xml:space="preserve">This is widespread in evangelical preaching and produces a functional Gnosticism in which</w:t>
      </w:r>
      <w:r>
        <w:t xml:space="preserve"> </w:t>
      </w:r>
      <w:r>
        <w:t xml:space="preserve">“real life”</w:t>
      </w:r>
      <w:r>
        <w:t xml:space="preserve"> </w:t>
      </w:r>
      <w:r>
        <w:t xml:space="preserve">begins when the workday ends. The text is explicit: the commission to work and keep the garden precedes the Fall. Any preaching that treats Genesis 2:15 as scenery rather than substance will leave the congregation with a diminished and distorted theology of vocation.</w:t>
      </w:r>
    </w:p>
    <w:p>
      <w:pPr>
        <w:numPr>
          <w:ilvl w:val="0"/>
          <w:numId w:val="1002"/>
        </w:numPr>
      </w:pPr>
      <w:r>
        <w:rPr>
          <w:b/>
          <w:bCs/>
        </w:rPr>
        <w:t xml:space="preserve">Spiritualizing the Sabbath rest (vv. 1–3) into an abstraction while ignoring its creational concreteness.</w:t>
      </w:r>
      <w:r>
        <w:t xml:space="preserve"> </w:t>
      </w:r>
      <w:r>
        <w:t xml:space="preserve">The Sabbath rest hallowed into the creation’s structure is not merely a</w:t>
      </w:r>
      <w:r>
        <w:t xml:space="preserve"> </w:t>
      </w:r>
      <w:r>
        <w:t xml:space="preserve">“spiritual principle about finding rest in God.”</w:t>
      </w:r>
      <w:r>
        <w:t xml:space="preserve"> </w:t>
      </w:r>
      <w:r>
        <w:t xml:space="preserve">It is a creational rhythm, embodied and temporal, built into the seven-day week. Both over-spiritualizing it (making it purely a metaphor for salvation rest) and under-theologizing it (treating it as merely a Jewish ceremonial law abolished in Christ) miss the creational weight the text gives it. The preacher should let the text establish the creational reality before moving to its theological trajectory in Hebrews 4.</w:t>
      </w:r>
    </w:p>
    <w:p>
      <w:pPr>
        <w:numPr>
          <w:ilvl w:val="0"/>
          <w:numId w:val="1002"/>
        </w:numPr>
      </w:pPr>
      <w:r>
        <w:rPr>
          <w:b/>
          <w:bCs/>
        </w:rPr>
        <w:t xml:space="preserve">Preaching verse 24 as primarily about marriage preparation for single people.</w:t>
      </w:r>
      <w:r>
        <w:t xml:space="preserve"> </w:t>
      </w:r>
      <w:r>
        <w:t xml:space="preserve">Genesis 2:24 is the narrator’s theological commentary on a creation event. Its primary claim is about the ontological structure of marriage — what it is, not advice about how to find it. Reducing it to a</w:t>
      </w:r>
      <w:r>
        <w:t xml:space="preserve"> </w:t>
      </w:r>
      <w:r>
        <w:t xml:space="preserve">“save sex for marriage”</w:t>
      </w:r>
      <w:r>
        <w:t xml:space="preserve"> </w:t>
      </w:r>
      <w:r>
        <w:t xml:space="preserve">application, while not wrong, strips it of its weight. Paul’s use of it in Ephesians 5 should govern the preacher’s sense of the verse’s depth: this is the type of which Christ-and-church is the antitype. Preach accordingly.</w:t>
      </w:r>
    </w:p>
    <w:p>
      <w:pPr>
        <w:numPr>
          <w:ilvl w:val="0"/>
          <w:numId w:val="1002"/>
        </w:numPr>
      </w:pPr>
      <w:r>
        <w:rPr>
          <w:b/>
          <w:bCs/>
        </w:rPr>
        <w:t xml:space="preserve">Failing to connect the</w:t>
      </w:r>
      <w:r>
        <w:rPr>
          <w:b/>
          <w:bCs/>
        </w:rPr>
        <w:t xml:space="preserve"> </w:t>
      </w:r>
      <w:r>
        <w:rPr>
          <w:b/>
          <w:bCs/>
        </w:rPr>
        <w:t xml:space="preserve">“not good”</w:t>
      </w:r>
      <w:r>
        <w:rPr>
          <w:b/>
          <w:bCs/>
        </w:rPr>
        <w:t xml:space="preserve"> </w:t>
      </w:r>
      <w:r>
        <w:rPr>
          <w:b/>
          <w:bCs/>
        </w:rPr>
        <w:t xml:space="preserve">of verse 18 to the gospel’s remedy.</w:t>
      </w:r>
      <w:r>
        <w:t xml:space="preserve"> </w:t>
      </w:r>
      <w:r>
        <w:t xml:space="preserve">The declaration</w:t>
      </w:r>
      <w:r>
        <w:t xml:space="preserve"> </w:t>
      </w:r>
      <w:r>
        <w:t xml:space="preserve">“it is not good that the man should be alone”</w:t>
      </w:r>
      <w:r>
        <w:t xml:space="preserve"> </w:t>
      </w:r>
      <w:r>
        <w:t xml:space="preserve">is the first</w:t>
      </w:r>
      <w:r>
        <w:t xml:space="preserve"> </w:t>
      </w:r>
      <w:r>
        <w:t xml:space="preserve">“not good”</w:t>
      </w:r>
      <w:r>
        <w:t xml:space="preserve"> </w:t>
      </w:r>
      <w:r>
        <w:t xml:space="preserve">in a creation God has declared</w:t>
      </w:r>
      <w:r>
        <w:t xml:space="preserve"> </w:t>
      </w:r>
      <w:r>
        <w:t xml:space="preserve">“good”</w:t>
      </w:r>
      <w:r>
        <w:t xml:space="preserve"> </w:t>
      </w:r>
      <w:r>
        <w:t xml:space="preserve">and</w:t>
      </w:r>
      <w:r>
        <w:t xml:space="preserve"> </w:t>
      </w:r>
      <w:r>
        <w:t xml:space="preserve">“very good.”</w:t>
      </w:r>
      <w:r>
        <w:t xml:space="preserve"> </w:t>
      </w:r>
      <w:r>
        <w:t xml:space="preserve">It is a carefully placed crack in the pre-Fall order — God identifying a lack and moving to address it by His own initiative. This movement (God seeing the lack, God providing the gift) is the creational type of which the gospel is the antitype. Preachers who move quickly from v. 18 to v. 24 without dwelling on the divine initiative in recognizing and addressing aloneness will miss one of the most pastorally potent moments in the chapter.</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2026-07-14T21:01:00Z</dcterms:created>
  <dcterms:modified xsi:type="dcterms:W3CDTF">2026-07-14T21:01:00Z</dcterms:modified>
</cp:coreProperties>
</file>

<file path=docProps/custom.xml><?xml version="1.0" encoding="utf-8"?>
<Properties xmlns="http://schemas.openxmlformats.org/officeDocument/2006/custom-properties" xmlns:vt="http://schemas.openxmlformats.org/officeDocument/2006/docPropsVTypes"/>
</file>